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1a91f3d" w14:textId="1a91f3d">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18.03.2022</w:t>
      </w:r>
    </w:p>
    <w:bookmarkStart w:name="523916779" w:id="0"/>
    <w:bookmarkStart w:name="523916779" w:id="1"/>
    <w:p>
      <w:pPr>
        <w:spacing w:before="0" w:after="0" w:line="240"/>
        <w:ind w:left="0"/>
        <w:jc w:val="center"/>
      </w:pPr>
      <w:r>
        <w:rPr>
          <w:rFonts w:hint="default" w:ascii="Times New Roman" w:hAnsi="Times New Roman"/>
          <w:b/>
          <w:i w:val="false"/>
          <w:color w:val="000000"/>
          <w:sz w:val="24"/>
        </w:rP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r>
        <w:br/>
      </w:r>
      <w:r>
        <w:rPr>
          <w:rFonts w:hint="default" w:ascii="Times New Roman" w:hAnsi="Times New Roman"/>
          <w:b/>
          <w:i w:val="false"/>
          <w:color w:val="000000"/>
          <w:sz w:val="24"/>
        </w:rPr>
        <w:t>
 Приказ Председателя Агентства Республики Казахстан по регулированию естественных монополий от 20 февраля 2009 года № 57-ОД.</w:t>
      </w:r>
      <w:r>
        <w:rPr>
          <w:rFonts w:hint="default" w:ascii="Times New Roman" w:hAnsi="Times New Roman"/>
          <w:b/>
          <w:i w:val="false"/>
          <w:color w:val="000000"/>
          <w:sz w:val="24"/>
        </w:rPr>
        <w:t>
</w:t>
      </w:r>
    </w:p>
    <w:bookmarkEnd w:id="1"/>
    <w:p>
      <w:pPr>
        <w:spacing w:before="0" w:after="0" w:line="240"/>
        <w:ind w:left="0"/>
        <w:jc w:val="center"/>
      </w:pPr>
      <w:r>
        <w:rPr>
          <w:rFonts w:hint="default" w:ascii="Times New Roman" w:hAnsi="Times New Roman"/>
          <w:b/>
          <w:i/>
          <w:color w:val="ff0000"/>
          <w:sz w:val="24"/>
        </w:rPr>
        <w:t xml:space="preserve">Заголовок изложен в новой редакции Приказа и.о. Министра национальной экономики РК от 29.12.2017 г. № 445 (см. редакцию от </w:t>
      </w:r>
      <w:hyperlink r:id="rId17">
        <w:r>
          <w:rPr>
            <w:rFonts w:hint="default" w:ascii="Times New Roman" w:hAnsi="Times New Roman"/>
            <w:b/>
            <w:i/>
            <w:color w:val="007fcc"/>
            <w:sz w:val="24"/>
            <w:u w:val="single"/>
          </w:rPr>
          <w:t>31.01.2017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ИС "Эталонный контрольный банк НПА РК в электронном виде" от 30.01.2018 г.</w:t>
      </w:r>
    </w:p>
    <w:bookmarkEnd w:id="0"/>
    <w:p>
      <w:pPr>
        <w:spacing w:after="0"/>
        <w:ind w:left="0"/>
        <w:jc w:val="left"/>
      </w:pPr>
      <w:hyperlink w:anchor="523916779">
        <w:r>
          <w:rPr>
            <w:rFonts w:hint="default" w:ascii="Times New Roman" w:hAnsi="Times New Roman"/>
            <w:b w:val="false"/>
            <w:i w:val="false"/>
            <w:color w:val="007fcc"/>
            <w:sz w:val="24"/>
            <w:u w:val="single"/>
          </w:rP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 Приказ Председателя Агентства Республики Казахстан по регулированию естественных монополий от 20 февраля 2009 года № 57-ОД.</w:t>
        </w:r>
      </w:hyperlink>
    </w:p>
    <w:p>
      <w:pPr>
        <w:spacing w:after="0"/>
        <w:ind w:left="0"/>
        <w:jc w:val="left"/>
      </w:pPr>
      <w:hyperlink w:anchor="501586536">
        <w:r>
          <w:rPr>
            <w:rFonts w:hint="default" w:ascii="Times New Roman" w:hAnsi="Times New Roman"/>
            <w:b w:val="false"/>
            <w:i w:val="false"/>
            <w:color w:val="007fcc"/>
            <w:sz w:val="24"/>
            <w:u w:val="single"/>
          </w:rPr>
          <w:t>Утверждены приказом Председателя Агентства Республики Казахстан по регулированию естественных монополий от 20 февраля 2009 года № 57-ОД</w:t>
        </w:r>
      </w:hyperlink>
    </w:p>
    <w:p>
      <w:pPr>
        <w:spacing w:after="0"/>
        <w:ind w:left="0"/>
        <w:jc w:val="left"/>
      </w:pPr>
      <w:hyperlink w:anchor="501586537">
        <w:r>
          <w:rPr>
            <w:rFonts w:hint="default" w:ascii="Times New Roman" w:hAnsi="Times New Roman"/>
            <w:b w:val="false"/>
            <w:i w:val="false"/>
            <w:color w:val="007fcc"/>
            <w:sz w:val="24"/>
            <w:u w:val="single"/>
          </w:rPr>
          <w:t>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hyperlink>
    </w:p>
    <w:p>
      <w:pPr>
        <w:spacing w:after="0"/>
        <w:ind w:left="0"/>
        <w:jc w:val="left"/>
      </w:pPr>
      <w:hyperlink w:anchor="1884521037">
        <w:r>
          <w:rPr>
            <w:rFonts w:hint="default" w:ascii="Times New Roman" w:hAnsi="Times New Roman"/>
            <w:b w:val="false"/>
            <w:i w:val="false"/>
            <w:color w:val="007fcc"/>
            <w:sz w:val="24"/>
            <w:u w:val="single"/>
          </w:rPr>
          <w:t>Глава 1. Общие положения</w:t>
        </w:r>
      </w:hyperlink>
    </w:p>
    <w:p>
      <w:pPr>
        <w:spacing w:after="0"/>
        <w:ind w:left="0"/>
        <w:jc w:val="left"/>
      </w:pPr>
      <w:hyperlink w:anchor="1884521067">
        <w:r>
          <w:rPr>
            <w:rFonts w:hint="default" w:ascii="Times New Roman" w:hAnsi="Times New Roman"/>
            <w:b w:val="false"/>
            <w:i w:val="false"/>
            <w:color w:val="007fcc"/>
            <w:sz w:val="24"/>
            <w:u w:val="single"/>
          </w:rPr>
          <w:t>Глава2.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hyperlink>
    </w:p>
    <w:p>
      <w:pPr>
        <w:spacing w:after="0"/>
        <w:ind w:left="0"/>
        <w:jc w:val="left"/>
      </w:pPr>
      <w:hyperlink w:anchor="1884521125">
        <w:r>
          <w:rPr>
            <w:rFonts w:hint="default" w:ascii="Times New Roman" w:hAnsi="Times New Roman"/>
            <w:b w:val="false"/>
            <w:i w:val="false"/>
            <w:color w:val="007fcc"/>
            <w:sz w:val="24"/>
            <w:u w:val="single"/>
          </w:rPr>
          <w:t>Приложение 1 к Правилам дифференциации энергоснабжающими организациями тарифов на электрическую энергию в зависимости от объемов ее потребления физическими лицами</w:t>
        </w:r>
      </w:hyperlink>
    </w:p>
    <w:p>
      <w:pPr>
        <w:spacing w:after="0"/>
        <w:ind w:left="0"/>
        <w:jc w:val="left"/>
      </w:pPr>
      <w:hyperlink w:anchor="1884521127">
        <w:r>
          <w:rPr>
            <w:rFonts w:hint="default" w:ascii="Times New Roman" w:hAnsi="Times New Roman"/>
            <w:b w:val="false"/>
            <w:i w:val="false"/>
            <w:color w:val="007fcc"/>
            <w:sz w:val="24"/>
            <w:u w:val="single"/>
          </w:rPr>
          <w:t>Плата за потребленную электрическую энергию за расчетный месяц</w:t>
        </w:r>
      </w:hyperlink>
    </w:p>
    <w:p>
      <w:pPr>
        <w:spacing w:after="0"/>
        <w:ind w:left="0"/>
        <w:jc w:val="left"/>
      </w:pPr>
      <w:hyperlink w:anchor="1884521131">
        <w:r>
          <w:rPr>
            <w:rFonts w:hint="default" w:ascii="Times New Roman" w:hAnsi="Times New Roman"/>
            <w:b w:val="false"/>
            <w:i w:val="false"/>
            <w:color w:val="007fcc"/>
            <w:sz w:val="24"/>
            <w:u w:val="single"/>
          </w:rPr>
          <w:t>Приложение 2 к Правилам дифференциации энергоснабжающими организациями тарифов на электрическую энергию в зависимости от объемов ее потребленияфизическими лицами</w:t>
        </w:r>
      </w:hyperlink>
    </w:p>
    <w:p>
      <w:pPr>
        <w:spacing w:before="0" w:after="0" w:line="240"/>
        <w:ind w:left="0"/>
        <w:jc w:val="left"/>
      </w:pPr>
      <w:hyperlink w:anchor="1884521133">
        <w:r>
          <w:rPr>
            <w:rFonts w:hint="default" w:ascii="Times New Roman" w:hAnsi="Times New Roman"/>
            <w:b w:val="false"/>
            <w:i w:val="false"/>
            <w:color w:val="007fcc"/>
            <w:sz w:val="24"/>
            <w:u w:val="single"/>
          </w:rPr>
          <w:t>Информация о дифференциации тарифов на электрическую энергию в зависимости от объемов ее потребления (для потребителей)</w:t>
        </w:r>
      </w:hyperlink>
    </w:p>
    <w:bookmarkStart w:name="557633166" w:id="2"/>
    <w:p>
      <w:pPr>
        <w:spacing w:before="0" w:after="0" w:line="240"/>
        <w:ind w:left="0"/>
        <w:jc w:val="center"/>
      </w:pPr>
      <w:r>
        <w:rPr>
          <w:rFonts w:hint="default" w:ascii="Times New Roman" w:hAnsi="Times New Roman"/>
          <w:b w:val="false"/>
          <w:i w:val="false"/>
          <w:color w:val="ff0000"/>
          <w:sz w:val="24"/>
        </w:rPr>
        <w:t xml:space="preserve">Редакция с изменениями и дополнениями по состоянию на </w:t>
      </w:r>
      <w:bookmarkStart w:name="idcc5f" w:id="3"/>
      <w:r>
        <w:rPr>
          <w:rFonts w:hint="default" w:ascii="Times New Roman" w:hAnsi="Times New Roman"/>
          <w:b w:val="false"/>
          <w:i w:val="false"/>
          <w:color w:val="ff0000"/>
          <w:sz w:val="24"/>
        </w:rPr>
        <w:t>28.06.2021</w:t>
      </w:r>
      <w:bookmarkEnd w:id="3"/>
      <w:r>
        <w:rPr>
          <w:rFonts w:hint="default" w:ascii="Times New Roman" w:hAnsi="Times New Roman"/>
          <w:b w:val="false"/>
          <w:i w:val="false"/>
          <w:color w:val="ff0000"/>
          <w:sz w:val="24"/>
        </w:rPr>
        <w:t xml:space="preserve"> г.</w:t>
      </w:r>
    </w:p>
    <w:bookmarkEnd w:id="2"/>
    <w:bookmarkStart w:name="50158652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соответствии с подпунктом </w:t>
      </w:r>
      <w:hyperlink r:id="rId18">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статьи 7 Закона Республики Казахстан "Об электроэнергетике" ПРИКАЗЫВАЮ:</w:t>
      </w:r>
    </w:p>
    <w:bookmarkEnd w:id="4"/>
    <w:bookmarkStart w:name="501586527" w:id="5"/>
    <w:bookmarkStart w:name="501586527" w:id="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Утвердить прилагаемые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r>
        <w:rPr>
          <w:rFonts w:hint="default" w:ascii="Times New Roman" w:hAnsi="Times New Roman"/>
          <w:b w:val="false"/>
          <w:i w:val="false"/>
          <w:color w:val="000000"/>
          <w:sz w:val="24"/>
        </w:rPr>
        <w:t>
</w:t>
      </w:r>
    </w:p>
    <w:bookmarkEnd w:id="6"/>
    <w:p>
      <w:pPr>
        <w:spacing w:before="0" w:after="0" w:line="240"/>
        <w:ind w:left="0"/>
        <w:jc w:val="both"/>
      </w:pPr>
      <w:r>
        <w:rPr>
          <w:rFonts w:hint="default" w:ascii="Times New Roman" w:hAnsi="Times New Roman"/>
          <w:b w:val="false"/>
          <w:i/>
          <w:color w:val="ff0000"/>
          <w:sz w:val="24"/>
        </w:rPr>
        <w:t xml:space="preserve">Пункт 1 изложен в новой редакции Приказа и.о. Министра национальной экономики РК от 29.12.2017 г. № 445 (см. редакцию от </w:t>
      </w:r>
      <w:hyperlink r:id="rId19">
        <w:r>
          <w:rPr>
            <w:rFonts w:hint="default" w:ascii="Times New Roman" w:hAnsi="Times New Roman"/>
            <w:b w:val="false"/>
            <w:i/>
            <w:color w:val="007fcc"/>
            <w:sz w:val="24"/>
            <w:u w:val="single"/>
          </w:rPr>
          <w:t>31.01.2017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ИС "Эталонный контрольный банк НПА РК в электронном виде" от 30.01.2018 г.</w:t>
      </w:r>
    </w:p>
    <w:bookmarkEnd w:id="5"/>
    <w:bookmarkStart w:name="501586528"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7"/>
    <w:bookmarkStart w:name="501586529"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w:t>
      </w:r>
    </w:p>
    <w:bookmarkEnd w:id="8"/>
    <w:bookmarkStart w:name="501586530"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обеспечить в установленном порядке его опубликование в официальных средствах массовой информации;</w:t>
      </w:r>
    </w:p>
    <w:bookmarkEnd w:id="9"/>
    <w:bookmarkStart w:name="501586531"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bookmarkEnd w:id="10"/>
    <w:bookmarkStart w:name="501586532"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w:t>
      </w:r>
    </w:p>
    <w:bookmarkEnd w:id="11"/>
    <w:bookmarkStart w:name="501586533"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w:t>
      </w:r>
    </w:p>
    <w:bookmarkEnd w:id="12"/>
    <w:bookmarkStart w:name="501586534"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Настоящий приказ вводится в действие по истечении десяти календарных дней после дня его первого официального опубликования.</w:t>
      </w:r>
    </w:p>
    <w:bookmarkEnd w:id="13"/>
    <w:bookmarkStart w:name="501586535" w:id="1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Председатель Н. Алдабергенов</w:t>
      </w:r>
    </w:p>
    <w:bookmarkEnd w:id="14"/>
    <w:bookmarkStart w:name="501586536" w:id="15"/>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Председателя</w:t>
      </w:r>
      <w:r>
        <w:br/>
      </w:r>
      <w:r>
        <w:rPr>
          <w:rFonts w:hint="default" w:ascii="Times New Roman" w:hAnsi="Times New Roman"/>
          <w:b/>
          <w:i w:val="false"/>
          <w:color w:val="000000"/>
          <w:sz w:val="24"/>
        </w:rPr>
        <w:t>
Агентства Республики Казахстан</w:t>
      </w:r>
      <w:r>
        <w:br/>
      </w:r>
      <w:r>
        <w:rPr>
          <w:rFonts w:hint="default" w:ascii="Times New Roman" w:hAnsi="Times New Roman"/>
          <w:b/>
          <w:i w:val="false"/>
          <w:color w:val="000000"/>
          <w:sz w:val="24"/>
        </w:rPr>
        <w:t>
по регулированию естественных</w:t>
      </w:r>
      <w:r>
        <w:br/>
      </w:r>
      <w:r>
        <w:rPr>
          <w:rFonts w:hint="default" w:ascii="Times New Roman" w:hAnsi="Times New Roman"/>
          <w:b/>
          <w:i w:val="false"/>
          <w:color w:val="000000"/>
          <w:sz w:val="24"/>
        </w:rPr>
        <w:t>
монополий</w:t>
      </w:r>
      <w:r>
        <w:br/>
      </w:r>
      <w:r>
        <w:rPr>
          <w:rFonts w:hint="default" w:ascii="Times New Roman" w:hAnsi="Times New Roman"/>
          <w:b/>
          <w:i w:val="false"/>
          <w:color w:val="000000"/>
          <w:sz w:val="24"/>
        </w:rPr>
        <w:t>
от 20 февраля 2009 года № 57-ОД</w:t>
      </w:r>
    </w:p>
    <w:bookmarkEnd w:id="15"/>
    <w:bookmarkStart w:name="501586537" w:id="16"/>
    <w:bookmarkStart w:name="501586537" w:id="17"/>
    <w:p>
      <w:pPr>
        <w:spacing w:before="0" w:after="0" w:line="240"/>
        <w:ind w:left="0"/>
        <w:jc w:val="center"/>
      </w:pPr>
      <w:r>
        <w:rPr>
          <w:rFonts w:hint="default" w:ascii="Times New Roman" w:hAnsi="Times New Roman"/>
          <w:b/>
          <w:i w:val="false"/>
          <w:color w:val="000000"/>
          <w:sz w:val="24"/>
        </w:rPr>
        <w:t>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r>
        <w:rPr>
          <w:rFonts w:hint="default" w:ascii="Times New Roman" w:hAnsi="Times New Roman"/>
          <w:b/>
          <w:i w:val="false"/>
          <w:color w:val="000000"/>
          <w:sz w:val="24"/>
        </w:rPr>
        <w:t>
</w:t>
      </w:r>
    </w:p>
    <w:bookmarkEnd w:id="17"/>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Председателя Агентства РК по регулированию естественных монополий от 15.04.2009 г. № 123-ОД (см. редакцию от </w:t>
      </w:r>
      <w:hyperlink r:id="rId20">
        <w:r>
          <w:rPr>
            <w:rFonts w:hint="default" w:ascii="Times New Roman" w:hAnsi="Times New Roman"/>
            <w:b/>
            <w:i/>
            <w:color w:val="007fcc"/>
            <w:sz w:val="24"/>
            <w:u w:val="single"/>
          </w:rPr>
          <w:t>20.02.2009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"Юридическая газета" от 29.05.2009 г. № 80 1677</w:t>
      </w:r>
    </w:p>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Председателя Агентства РК по регулированию естественных монополий от 31.07.2009 г. № 265-ОД (см. редакцию от </w:t>
      </w:r>
      <w:hyperlink r:id="rId21">
        <w:r>
          <w:rPr>
            <w:rFonts w:hint="default" w:ascii="Times New Roman" w:hAnsi="Times New Roman"/>
            <w:b/>
            <w:i/>
            <w:color w:val="007fcc"/>
            <w:sz w:val="24"/>
            <w:u w:val="single"/>
          </w:rPr>
          <w:t>15.04.2009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"Юридическая газета" от 18.09.2009, № 142 1739</w:t>
      </w:r>
    </w:p>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и.о. Председателя Агентства РК по регулированию естественных монополий от 08.02.2011 г. № 47-ОД (см. редакцию от </w:t>
      </w:r>
      <w:hyperlink r:id="rId22">
        <w:r>
          <w:rPr>
            <w:rFonts w:hint="default" w:ascii="Times New Roman" w:hAnsi="Times New Roman"/>
            <w:b/>
            <w:i/>
            <w:color w:val="007fcc"/>
            <w:sz w:val="24"/>
            <w:u w:val="single"/>
          </w:rPr>
          <w:t>31.07.2009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14.06.2011 г., № 187 26608</w:t>
      </w:r>
    </w:p>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Председателя Агентства РК по регулированию естественных монополий от 28.09.2011 г. № 298-ОД (см. редакцию от </w:t>
      </w:r>
      <w:hyperlink r:id="rId23">
        <w:r>
          <w:rPr>
            <w:rFonts w:hint="default" w:ascii="Times New Roman" w:hAnsi="Times New Roman"/>
            <w:b/>
            <w:i/>
            <w:color w:val="007fcc"/>
            <w:sz w:val="24"/>
            <w:u w:val="single"/>
          </w:rPr>
          <w:t>08.02.2011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15.10.2011 г., № 330-331 26721-26722</w:t>
      </w:r>
    </w:p>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Председателя Агентства РК по регулированию естественных монополий от 07.11.2011 г. № 349-ОД (см. редакцию от </w:t>
      </w:r>
      <w:hyperlink r:id="rId24">
        <w:r>
          <w:rPr>
            <w:rFonts w:hint="default" w:ascii="Times New Roman" w:hAnsi="Times New Roman"/>
            <w:b/>
            <w:i/>
            <w:color w:val="007fcc"/>
            <w:sz w:val="24"/>
            <w:u w:val="single"/>
          </w:rPr>
          <w:t>28.09.2011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15.11.2011 г., № 363-364 26754-26755</w:t>
      </w:r>
    </w:p>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Председателя Агентства РК по регулированию естественных монополий от </w:t>
      </w:r>
      <w:hyperlink r:id="rId25">
        <w:r>
          <w:rPr>
            <w:rFonts w:hint="default" w:ascii="Times New Roman" w:hAnsi="Times New Roman"/>
            <w:b/>
            <w:i/>
            <w:color w:val="007fcc"/>
            <w:sz w:val="24"/>
            <w:u w:val="single"/>
          </w:rPr>
          <w:t>12.09.2012</w:t>
        </w:r>
      </w:hyperlink>
      <w:r>
        <w:rPr>
          <w:rFonts w:hint="default" w:ascii="Times New Roman" w:hAnsi="Times New Roman"/>
          <w:b/>
          <w:i/>
          <w:color w:val="ff0000"/>
          <w:sz w:val="24"/>
        </w:rPr>
        <w:t xml:space="preserve"> г. № 232-ОД (см. редакцию от </w:t>
      </w:r>
      <w:hyperlink r:id="rId26">
        <w:r>
          <w:rPr>
            <w:rFonts w:hint="default" w:ascii="Times New Roman" w:hAnsi="Times New Roman"/>
            <w:b/>
            <w:i/>
            <w:color w:val="007fcc"/>
            <w:sz w:val="24"/>
            <w:u w:val="single"/>
          </w:rPr>
          <w:t>07.11.2011</w:t>
        </w:r>
      </w:hyperlink>
      <w:r>
        <w:rPr>
          <w:rFonts w:hint="default" w:ascii="Times New Roman" w:hAnsi="Times New Roman"/>
          <w:b/>
          <w:i/>
          <w:color w:val="ff0000"/>
          <w:sz w:val="24"/>
        </w:rPr>
        <w:t>) (подлежит введению в действие по истечении десяти календарных дней после дня его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10.11.2012 г. № 392 (27211)</w:t>
      </w:r>
    </w:p>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Председателя Агентства РК по регулированию естественных монополий от 26.06.2013 г. № 185-ОД (см. редакцию от </w:t>
      </w:r>
      <w:hyperlink r:id="rId27">
        <w:r>
          <w:rPr>
            <w:rFonts w:hint="default" w:ascii="Times New Roman" w:hAnsi="Times New Roman"/>
            <w:b/>
            <w:i/>
            <w:color w:val="007fcc"/>
            <w:sz w:val="24"/>
            <w:u w:val="single"/>
          </w:rPr>
          <w:t>12.09.2012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02.11.2013 г.</w:t>
      </w:r>
    </w:p>
    <w:p>
      <w:pPr>
        <w:spacing w:before="0" w:after="0" w:line="240"/>
        <w:ind w:left="0"/>
        <w:jc w:val="center"/>
      </w:pPr>
      <w:r>
        <w:rPr>
          <w:rFonts w:hint="default" w:ascii="Times New Roman" w:hAnsi="Times New Roman"/>
          <w:b/>
          <w:i/>
          <w:color w:val="ff0000"/>
          <w:sz w:val="24"/>
        </w:rPr>
        <w:t xml:space="preserve">Настоящие Правила изменены в соответствии с Приказом Председателя Агентства РК по регулированию естественных монополий от 30.06.2014 г. № 148-ОД (см. редакцию от </w:t>
      </w:r>
      <w:hyperlink r:id="rId28">
        <w:r>
          <w:rPr>
            <w:rFonts w:hint="default" w:ascii="Times New Roman" w:hAnsi="Times New Roman"/>
            <w:b/>
            <w:i/>
            <w:color w:val="007fcc"/>
            <w:sz w:val="24"/>
            <w:u w:val="single"/>
          </w:rPr>
          <w:t>26.06.2013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ИПС нормативных правовых актов РК «Әділет» 07.08.2014 г.</w:t>
      </w:r>
    </w:p>
    <w:p>
      <w:pPr>
        <w:spacing w:before="0" w:after="0" w:line="240"/>
        <w:ind w:left="0"/>
        <w:jc w:val="center"/>
      </w:pPr>
      <w:r>
        <w:rPr>
          <w:rFonts w:hint="default" w:ascii="Times New Roman" w:hAnsi="Times New Roman"/>
          <w:b/>
          <w:i/>
          <w:color w:val="ff0000"/>
          <w:sz w:val="24"/>
        </w:rPr>
        <w:t xml:space="preserve">Настоящие Правила изложены в новой редакции Приказа и.о. Министра национальной экономики РК от 02.09.2016 г. № 394 (см. редакцию от </w:t>
      </w:r>
      <w:hyperlink r:id="rId29">
        <w:r>
          <w:rPr>
            <w:rFonts w:hint="default" w:ascii="Times New Roman" w:hAnsi="Times New Roman"/>
            <w:b/>
            <w:i/>
            <w:color w:val="007fcc"/>
            <w:sz w:val="24"/>
            <w:u w:val="single"/>
          </w:rPr>
          <w:t>30.06.2014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ИПС нормативных правовых актов РК «Әділет» 27.10.2016 г.</w:t>
      </w:r>
    </w:p>
    <w:p>
      <w:pPr>
        <w:spacing w:before="0" w:after="0" w:line="240"/>
        <w:ind w:left="0"/>
        <w:jc w:val="center"/>
      </w:pPr>
      <w:r>
        <w:rPr>
          <w:rFonts w:hint="default" w:ascii="Times New Roman" w:hAnsi="Times New Roman"/>
          <w:b/>
          <w:i/>
          <w:color w:val="ff0000"/>
          <w:sz w:val="24"/>
        </w:rPr>
        <w:t xml:space="preserve">Настоящие Правила изложены в новой редакции Приказа и.о. Министра национальной экономики РК от 29.12.2017 г. № 445 (см. редакцию от </w:t>
      </w:r>
      <w:hyperlink r:id="rId30">
        <w:r>
          <w:rPr>
            <w:rFonts w:hint="default" w:ascii="Times New Roman" w:hAnsi="Times New Roman"/>
            <w:b/>
            <w:i/>
            <w:color w:val="007fcc"/>
            <w:sz w:val="24"/>
            <w:u w:val="single"/>
          </w:rPr>
          <w:t>31.01.2017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ИС "Эталонный контрольный банк НПА РК в электронном виде" от 30.01.2018 г.</w:t>
      </w:r>
    </w:p>
    <w:bookmarkEnd w:id="16"/>
    <w:bookmarkStart w:name="1884521037" w:id="18"/>
    <w:p>
      <w:pPr>
        <w:spacing w:before="120" w:after="120" w:line="240"/>
        <w:ind w:left="0"/>
        <w:jc w:val="center"/>
      </w:pPr>
      <w:r>
        <w:rPr>
          <w:rFonts w:hint="default" w:ascii="Times New Roman" w:hAnsi="Times New Roman"/>
          <w:b/>
          <w:i w:val="false"/>
          <w:color w:val="000000"/>
          <w:sz w:val="24"/>
        </w:rPr>
        <w:t>Глава 1. Общие положения</w:t>
      </w:r>
    </w:p>
    <w:bookmarkEnd w:id="18"/>
    <w:bookmarkStart w:name="1884521038"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подпунктами 1) и 2) пункта 1 статьи 124-5 Предпринимательского кодекса Республики Казахстан от 29 октября 2015 года (далее – Кодекс) и Законом Республики Казахстан от 9 июля 2004 года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9"/>
    <w:bookmarkStart w:name="1884521039"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Основные понятия, применяемые в настоящих Правилах:</w:t>
      </w:r>
    </w:p>
    <w:bookmarkEnd w:id="20"/>
    <w:bookmarkStart w:name="1884521040"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отпускной тариф – цена товара (работы, услуги), применяемая энергоснабжающей организацией для реализации электрической энергии;</w:t>
      </w:r>
    </w:p>
    <w:bookmarkEnd w:id="21"/>
    <w:bookmarkStart w:name="1884521041"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максимальный тариф – тариф на электрическую энергию, потребляемую сверх величины потребления электрической энергии для физических лиц;</w:t>
      </w:r>
    </w:p>
    <w:bookmarkEnd w:id="22"/>
    <w:bookmarkStart w:name="1884521042"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минимальный тариф – тариф на электрическую энергию, потребляемую в пределах величины потребления электрической энергии для физических лиц;</w:t>
      </w:r>
    </w:p>
    <w:bookmarkEnd w:id="23"/>
    <w:bookmarkStart w:name="1884521043"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bookmarkEnd w:id="24"/>
    <w:bookmarkStart w:name="1884521044"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bookmarkEnd w:id="25"/>
    <w:bookmarkStart w:name="1884521045"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потребитель – физическое лицо, потребляющее на основе договора электрическую энергию;</w:t>
      </w:r>
    </w:p>
    <w:bookmarkEnd w:id="26"/>
    <w:bookmarkStart w:name="1884521046"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уполномоченный орган – государственный орган, осуществляющий руководство в сферах естественных монополий;</w:t>
      </w:r>
    </w:p>
    <w:bookmarkEnd w:id="27"/>
    <w:bookmarkStart w:name="1884521047" w:id="28"/>
    <w:bookmarkStart w:name="1884521047" w:id="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ведомство уполномоченного органа – Комитет по регулированию естественных монополий Министерства национальной экономики Республики Казахстан;</w:t>
      </w:r>
      <w:r>
        <w:rPr>
          <w:rFonts w:hint="default" w:ascii="Times New Roman" w:hAnsi="Times New Roman"/>
          <w:b w:val="false"/>
          <w:i w:val="false"/>
          <w:color w:val="000000"/>
          <w:sz w:val="24"/>
        </w:rPr>
        <w:t>
</w:t>
      </w:r>
    </w:p>
    <w:bookmarkEnd w:id="29"/>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Приказа Министра национальной экономики РК от 14.06.2021 г. № 61 (см. редакцию от </w:t>
      </w:r>
      <w:hyperlink r:id="rId31">
        <w:r>
          <w:rPr>
            <w:rFonts w:hint="default" w:ascii="Times New Roman" w:hAnsi="Times New Roman"/>
            <w:b w:val="false"/>
            <w:i/>
            <w:color w:val="007fcc"/>
            <w:sz w:val="24"/>
            <w:u w:val="single"/>
          </w:rPr>
          <w:t>29.12.2017</w:t>
        </w:r>
      </w:hyperlink>
      <w:r>
        <w:rPr>
          <w:rFonts w:hint="default" w:ascii="Times New Roman" w:hAnsi="Times New Roman"/>
          <w:b w:val="false"/>
          <w:i/>
          <w:color w:val="ff0000"/>
          <w:sz w:val="24"/>
        </w:rPr>
        <w:t xml:space="preserve"> г.) (изменение вводится от 28.06.2021 г.)</w:t>
      </w:r>
    </w:p>
    <w:bookmarkEnd w:id="28"/>
    <w:bookmarkStart w:name="188452104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bookmarkEnd w:id="30"/>
    <w:bookmarkStart w:name="188452104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энергоснабжающая организация – организация, осуществляющая продажу потребителям купленной электрической энергии.</w:t>
      </w:r>
    </w:p>
    <w:bookmarkEnd w:id="31"/>
    <w:bookmarkStart w:name="188452105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используемые в Правилах, применяются в соответствии с Законом.</w:t>
      </w:r>
    </w:p>
    <w:bookmarkEnd w:id="32"/>
    <w:bookmarkStart w:name="1884521051"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Энергоснабжающие организации, используемые в настоящих Правилах, являются организации, подлежащие государственному регулированию в соответствии с подпунктами 1) и 2) пункта 1 статьи 124-5 Кодекса.</w:t>
      </w:r>
    </w:p>
    <w:bookmarkEnd w:id="33"/>
    <w:bookmarkStart w:name="1884521052"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Дифференцированные тарифы вводятся энергоснабжающей организацией после согласования с ведомством уполномоченного органа.</w:t>
      </w:r>
    </w:p>
    <w:bookmarkEnd w:id="34"/>
    <w:bookmarkStart w:name="1884521053"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bookmarkEnd w:id="35"/>
    <w:bookmarkStart w:name="1884521054"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изменении уровня отпускного тарифа энергоснабжающая организация производит перерасчет дифференцированного тарифа.</w:t>
      </w:r>
    </w:p>
    <w:bookmarkEnd w:id="36"/>
    <w:bookmarkStart w:name="1884521055"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Энергоснабжающие организации, в случае внесения изменений в расчёт дифференцированных тарифов, согласно настоящим Правилам, согласовывают с ведомством уполномоченного органа изменённые дифференцированные тарифы.</w:t>
      </w:r>
    </w:p>
    <w:bookmarkEnd w:id="37"/>
    <w:bookmarkStart w:name="1884521056"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подачи потребителями, заявления на применение дифференцированных тарифов в зависимости от объемов потребления электроэнергии электроснабжающие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bookmarkEnd w:id="38"/>
    <w:bookmarkStart w:name="1884521057"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bookmarkEnd w:id="39"/>
    <w:bookmarkStart w:name="1884521058"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Недоиспользованное количество электрической энергии в пределах величины потребления электрической энергии не используется в следующем месяце.</w:t>
      </w:r>
    </w:p>
    <w:bookmarkEnd w:id="40"/>
    <w:bookmarkStart w:name="1884521059" w:id="41"/>
    <w:bookmarkStart w:name="1884521059" w:id="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для определения которых работник коммунальных служб получает соответствующие сведения из сервиса веб-портала «электронного правительства», позволяющего выдавать справки третьим лицам, или информационных систем, интегрированных с базами данных органов внутренних дел.</w:t>
      </w:r>
      <w:r>
        <w:rPr>
          <w:rFonts w:hint="default" w:ascii="Times New Roman" w:hAnsi="Times New Roman"/>
          <w:b w:val="false"/>
          <w:i w:val="false"/>
          <w:color w:val="000000"/>
          <w:sz w:val="24"/>
        </w:rPr>
        <w:t>
</w:t>
      </w:r>
    </w:p>
    <w:bookmarkEnd w:id="42"/>
    <w:p>
      <w:pPr>
        <w:spacing w:before="0" w:after="0" w:line="240"/>
        <w:ind w:left="0"/>
        <w:jc w:val="both"/>
      </w:pPr>
      <w:r>
        <w:rPr>
          <w:rFonts w:hint="default" w:ascii="Times New Roman" w:hAnsi="Times New Roman"/>
          <w:b w:val="false"/>
          <w:i/>
          <w:color w:val="ff0000"/>
          <w:sz w:val="24"/>
        </w:rPr>
        <w:t xml:space="preserve">Пункт 8 изложен в новой редакции Приказа Министра национальной экономики РК от 14.06.2021 г. № 61 (см. редакцию от </w:t>
      </w:r>
      <w:hyperlink r:id="rId32">
        <w:r>
          <w:rPr>
            <w:rFonts w:hint="default" w:ascii="Times New Roman" w:hAnsi="Times New Roman"/>
            <w:b w:val="false"/>
            <w:i/>
            <w:color w:val="007fcc"/>
            <w:sz w:val="24"/>
            <w:u w:val="single"/>
          </w:rPr>
          <w:t>29.12.2017</w:t>
        </w:r>
      </w:hyperlink>
      <w:r>
        <w:rPr>
          <w:rFonts w:hint="default" w:ascii="Times New Roman" w:hAnsi="Times New Roman"/>
          <w:b w:val="false"/>
          <w:i/>
          <w:color w:val="ff0000"/>
          <w:sz w:val="24"/>
        </w:rPr>
        <w:t xml:space="preserve"> г.) (изменение вводится от 28.06.2021 г.)</w:t>
      </w:r>
    </w:p>
    <w:bookmarkEnd w:id="41"/>
    <w:bookmarkStart w:name="1884521060"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в населенных пунктах некоммерческого акционерного общества «Государственная корпорация» Правительство для граждан» основанием для определения количества постоянно проживающих потребителей является справка о количестве проживающих потребителей, выданная сельским и/или аульным акимом.</w:t>
      </w:r>
    </w:p>
    <w:bookmarkEnd w:id="43"/>
    <w:bookmarkStart w:name="1884521061"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bookmarkEnd w:id="44"/>
    <w:bookmarkStart w:name="1884521062"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w:t>
      </w:r>
    </w:p>
    <w:bookmarkEnd w:id="45"/>
    <w:bookmarkStart w:name="1884521063"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bookmarkEnd w:id="46"/>
    <w:bookmarkStart w:name="1884521064"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bookmarkEnd w:id="47"/>
    <w:bookmarkStart w:name="1884521065"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bookmarkEnd w:id="48"/>
    <w:bookmarkStart w:name="1884521066"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bookmarkEnd w:id="49"/>
    <w:bookmarkStart w:name="1884521067" w:id="50"/>
    <w:p>
      <w:pPr>
        <w:spacing w:before="120" w:after="120" w:line="240"/>
        <w:ind w:left="0"/>
        <w:jc w:val="center"/>
      </w:pPr>
      <w:r>
        <w:rPr>
          <w:rFonts w:hint="default" w:ascii="Times New Roman" w:hAnsi="Times New Roman"/>
          <w:b/>
          <w:i w:val="false"/>
          <w:color w:val="000000"/>
          <w:sz w:val="24"/>
        </w:rPr>
        <w:t>Глава2.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50"/>
    <w:bookmarkStart w:name="1884521068"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51"/>
    <w:bookmarkStart w:name="1884521069"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52"/>
    <w:bookmarkStart w:name="1884521070"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53"/>
    <w:bookmarkStart w:name="1884521071"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При расчете дифференцированных тарифов с применением двухуровневых тарифов максимальный тариф (Т макс), определяется по формуле:</w:t>
      </w:r>
    </w:p>
    <w:bookmarkEnd w:id="54"/>
    <w:bookmarkStart w:name="1884521072"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 макс = 1,2*То, где: (7)</w:t>
      </w:r>
    </w:p>
    <w:bookmarkEnd w:id="55"/>
    <w:bookmarkStart w:name="1884521073"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 – отпускной тариф на электрическую энергию.</w:t>
      </w:r>
    </w:p>
    <w:bookmarkEnd w:id="56"/>
    <w:bookmarkStart w:name="1884521074"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Минимальный тариф для потребителей, использующих электрические плиты (Тмин1), определяется по формуле:</w:t>
      </w:r>
    </w:p>
    <w:bookmarkEnd w:id="57"/>
    <w:bookmarkStart w:name="1884521075"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Тмин1 = (Tо*Wбыт1 - Тмакс*(Wбыт1 - k*Wмин1)) / (k*Wмин1), где: (8)</w:t>
      </w:r>
    </w:p>
    <w:bookmarkEnd w:id="58"/>
    <w:bookmarkStart w:name="1884521076"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кВт.ч.);</w:t>
      </w:r>
    </w:p>
    <w:bookmarkEnd w:id="59"/>
    <w:bookmarkStart w:name="1884521077"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кВт.ч.;</w:t>
      </w:r>
    </w:p>
    <w:bookmarkEnd w:id="60"/>
    <w:bookmarkStart w:name="1884521078"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k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k=1,1, в последующем k=1.</w:t>
      </w:r>
    </w:p>
    <w:bookmarkEnd w:id="61"/>
    <w:bookmarkStart w:name="1884521079"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Минимальный тариф для потребителей, не использующих электрические плиты (Тмин2), определяется по формуле:</w:t>
      </w:r>
    </w:p>
    <w:bookmarkEnd w:id="62"/>
    <w:bookmarkStart w:name="1884521080"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Тмин2 = (Tо*Wбыт2 - Тмакс*(Wбыт2 - k*Wмин2)) / (k*Wмин2), где: (9)</w:t>
      </w:r>
    </w:p>
    <w:bookmarkEnd w:id="63"/>
    <w:bookmarkStart w:name="1884521081"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Wбыт2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64"/>
    <w:bookmarkStart w:name="1884521082"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кВт.ч.</w:t>
      </w:r>
    </w:p>
    <w:bookmarkEnd w:id="65"/>
    <w:bookmarkStart w:name="1884521083"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66"/>
    <w:bookmarkStart w:name="1884521084"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Тмин*Wфакт где: (10)</w:t>
      </w:r>
    </w:p>
    <w:bookmarkEnd w:id="67"/>
    <w:bookmarkStart w:name="1884521085"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плата за электрическую энергию, потребленную за расчетный месяц, тенге;</w:t>
      </w:r>
    </w:p>
    <w:bookmarkEnd w:id="68"/>
    <w:bookmarkStart w:name="1884521086"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Wфакт – фактический объем потребленной электрической энергии за расчетный месяц по показаниям прибора учета, кВт.ч.</w:t>
      </w:r>
    </w:p>
    <w:bookmarkEnd w:id="69"/>
    <w:bookmarkStart w:name="1884521087"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70"/>
    <w:bookmarkStart w:name="1884521088"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Пмакс = Тмин*n * Wлим + Тмакс*(Wфакт - n * Wлим), где: (11)</w:t>
      </w:r>
    </w:p>
    <w:bookmarkEnd w:id="71"/>
    <w:bookmarkStart w:name="1884521089"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Wлим – величина потребления электрической энергии одним потребителем, за превышение которого взимается плата по максимальному тарифу, кВт.ч,</w:t>
      </w:r>
    </w:p>
    <w:bookmarkEnd w:id="72"/>
    <w:bookmarkStart w:name="1884521090"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n – количество проживающих потребителей.</w:t>
      </w:r>
    </w:p>
    <w:bookmarkEnd w:id="73"/>
    <w:bookmarkStart w:name="1884521091"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bookmarkEnd w:id="74"/>
    <w:bookmarkStart w:name="1884521092"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75"/>
    <w:bookmarkStart w:name="1884521093"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76"/>
    <w:bookmarkStart w:name="1884521094"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тарифу второго уровня (далее – V2), определяется с учетом стимулов побуждающих потребителей к энергосбережению и обеспечивающих социальную защиту населения.</w:t>
      </w:r>
    </w:p>
    <w:bookmarkEnd w:id="77"/>
    <w:bookmarkStart w:name="1884521095"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тарифу третьего уровня (далее – V3),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w:t>
      </w:r>
    </w:p>
    <w:bookmarkEnd w:id="78"/>
    <w:bookmarkStart w:name="1884521096"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79"/>
    <w:bookmarkStart w:name="1884521097"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Тариф первого уровня для потребителей, использующих электрические плиты (Т1 с э/п), определяется по формуле:</w:t>
      </w:r>
    </w:p>
    <w:bookmarkEnd w:id="80"/>
    <w:bookmarkStart w:name="1884521098"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Т1 с э/п = (Tо * Wо с э/п - Т2 * W2 с э/п - Т3 * W3 с э/п)/W1 с э/п, где: (12)</w:t>
      </w:r>
    </w:p>
    <w:bookmarkEnd w:id="81"/>
    <w:bookmarkStart w:name="1884521099"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Т2 – тариф второго уровня, определенный по формуле 14;</w:t>
      </w:r>
    </w:p>
    <w:bookmarkEnd w:id="82"/>
    <w:bookmarkStart w:name="1884521100"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Т3 – тариф третьего уровня, определенный по формуле 15;</w:t>
      </w:r>
    </w:p>
    <w:bookmarkEnd w:id="83"/>
    <w:bookmarkStart w:name="1884521101"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Wос э/п – фактический объем электрической энергии, потребленной потребителями, использующими электрические плиты, за предшествующий календарный год, кВт.ч;</w:t>
      </w:r>
    </w:p>
    <w:bookmarkEnd w:id="84"/>
    <w:bookmarkStart w:name="1884521102"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V2, кВт.ч.;</w:t>
      </w:r>
    </w:p>
    <w:bookmarkEnd w:id="85"/>
    <w:bookmarkStart w:name="1884521103"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V2, но в пределах V3, кВт.ч.;</w:t>
      </w:r>
    </w:p>
    <w:bookmarkEnd w:id="86"/>
    <w:bookmarkStart w:name="1884521104"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V3, кВт.ч.</w:t>
      </w:r>
    </w:p>
    <w:bookmarkEnd w:id="87"/>
    <w:bookmarkStart w:name="1884521105"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Тариф первого уровня для потребителей, не использующих электрические плиты (Т1 без э/п), определяется по формуле:</w:t>
      </w:r>
    </w:p>
    <w:bookmarkEnd w:id="88"/>
    <w:bookmarkStart w:name="1884521106"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Т1 без э/п = (Tо * Wобез э/п - Т2 * W2 без э/п - Т3 * W3 без э/п) /W1 без э/п, где: (13)</w:t>
      </w:r>
    </w:p>
    <w:bookmarkEnd w:id="89"/>
    <w:bookmarkStart w:name="1884521107"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Wобез э/п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90"/>
    <w:bookmarkStart w:name="1884521108"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V2, кВт.ч.;</w:t>
      </w:r>
    </w:p>
    <w:bookmarkEnd w:id="91"/>
    <w:bookmarkStart w:name="1884521109"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V2, но в пределах V3, кВт.ч.;</w:t>
      </w:r>
    </w:p>
    <w:bookmarkEnd w:id="92"/>
    <w:bookmarkStart w:name="1884521110"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W3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V3, кВт.ч.</w:t>
      </w:r>
    </w:p>
    <w:bookmarkEnd w:id="93"/>
    <w:bookmarkStart w:name="1884521111"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При расчете дифференцированных тарифов с применением трехуровневых тарифов тариф второго уровня (Т2), определяется по формуле:</w:t>
      </w:r>
    </w:p>
    <w:bookmarkEnd w:id="94"/>
    <w:bookmarkStart w:name="1884521112"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Т2 = 1,2*То, где: (14)</w:t>
      </w:r>
    </w:p>
    <w:bookmarkEnd w:id="95"/>
    <w:bookmarkStart w:name="1884521113"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 – отпускной тариф на электрическую энергию.</w:t>
      </w:r>
    </w:p>
    <w:bookmarkEnd w:id="96"/>
    <w:bookmarkStart w:name="1884521114"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bookmarkEnd w:id="97"/>
    <w:bookmarkStart w:name="1884521115"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Т3 = 1,5*То, где: (15)</w:t>
      </w:r>
    </w:p>
    <w:bookmarkEnd w:id="98"/>
    <w:bookmarkStart w:name="1884521116"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 – отпускной тариф на электрическую энергию.</w:t>
      </w:r>
    </w:p>
    <w:bookmarkEnd w:id="99"/>
    <w:bookmarkStart w:name="1884521117"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Плата за потребленную электрическую энергию за расчетный месяц определяется по форме, согласно </w:t>
      </w:r>
      <w:hyperlink r:id="rId33">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настоящим Правилам.</w:t>
      </w:r>
    </w:p>
    <w:bookmarkEnd w:id="100"/>
    <w:bookmarkStart w:name="1884521118"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bookmarkEnd w:id="101"/>
    <w:bookmarkStart w:name="1884521119"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пояснительную записку;</w:t>
      </w:r>
    </w:p>
    <w:bookmarkEnd w:id="102"/>
    <w:bookmarkStart w:name="1884521120"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расчет дифференцированных тарифов;</w:t>
      </w:r>
    </w:p>
    <w:bookmarkEnd w:id="103"/>
    <w:bookmarkStart w:name="1884521121"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проект приказа об утверждении дифференцированных тарифов;</w:t>
      </w:r>
    </w:p>
    <w:bookmarkEnd w:id="104"/>
    <w:bookmarkStart w:name="1884521122"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информацию о дифференциации тарифов на электрическую энергию в зависимости от объемов ее потребления (для потребителей) по форме, согласно </w:t>
      </w:r>
      <w:hyperlink r:id="rId34">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настоящим Правилам с приложением обосновывающих материалов.</w:t>
      </w:r>
    </w:p>
    <w:bookmarkEnd w:id="105"/>
    <w:bookmarkStart w:name="1884521123"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bookmarkEnd w:id="106"/>
    <w:bookmarkStart w:name="1884521124"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bookmarkEnd w:id="107"/>
    <w:bookmarkStart w:name="1884521125" w:id="108"/>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Правилам дифференциации</w:t>
      </w:r>
      <w:r>
        <w:br/>
      </w:r>
      <w:r>
        <w:rPr>
          <w:rFonts w:hint="default" w:ascii="Times New Roman" w:hAnsi="Times New Roman"/>
          <w:b/>
          <w:i w:val="false"/>
          <w:color w:val="000000"/>
          <w:sz w:val="24"/>
        </w:rPr>
        <w:t>
энергоснабжающими организациями</w:t>
      </w:r>
      <w:r>
        <w:br/>
      </w:r>
      <w:r>
        <w:rPr>
          <w:rFonts w:hint="default" w:ascii="Times New Roman" w:hAnsi="Times New Roman"/>
          <w:b/>
          <w:i w:val="false"/>
          <w:color w:val="000000"/>
          <w:sz w:val="24"/>
        </w:rPr>
        <w:t>
тарифов на электрическую энергию</w:t>
      </w:r>
      <w:r>
        <w:br/>
      </w:r>
      <w:r>
        <w:rPr>
          <w:rFonts w:hint="default" w:ascii="Times New Roman" w:hAnsi="Times New Roman"/>
          <w:b/>
          <w:i w:val="false"/>
          <w:color w:val="000000"/>
          <w:sz w:val="24"/>
        </w:rPr>
        <w:t>
в зависимости от объемов ее</w:t>
      </w:r>
      <w:r>
        <w:br/>
      </w:r>
      <w:r>
        <w:rPr>
          <w:rFonts w:hint="default" w:ascii="Times New Roman" w:hAnsi="Times New Roman"/>
          <w:b/>
          <w:i w:val="false"/>
          <w:color w:val="000000"/>
          <w:sz w:val="24"/>
        </w:rPr>
        <w:t>
потребления физическими лицами</w:t>
      </w:r>
    </w:p>
    <w:bookmarkEnd w:id="108"/>
    <w:bookmarkStart w:name="1884521126" w:id="10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09"/>
    <w:bookmarkStart w:name="1884521127" w:id="110"/>
    <w:p>
      <w:pPr>
        <w:spacing w:before="120" w:after="120" w:line="240"/>
        <w:ind w:left="0"/>
        <w:jc w:val="center"/>
      </w:pPr>
      <w:r>
        <w:rPr>
          <w:rFonts w:hint="default" w:ascii="Times New Roman" w:hAnsi="Times New Roman"/>
          <w:b/>
          <w:i w:val="false"/>
          <w:color w:val="000000"/>
          <w:sz w:val="24"/>
        </w:rPr>
        <w:t>Плата за потребленную электрическую энергию за расчетный месяц</w:t>
      </w:r>
    </w:p>
    <w:bookmarkEnd w:id="110"/>
    <w:bookmarkStart w:name="1884521128" w:id="111"/>
    <w:tbl>
      <w:tblPr>
        <w:tblW w:w="17720" w:type="auto"/>
        <w:tblCellSpacing w:w="0" w:type="auto"/>
        <w:tblBorders>
          <w:top w:val="none"/>
          <w:left w:val="none"/>
          <w:bottom w:val="none"/>
          <w:right w:val="none"/>
          <w:insideH w:val="none"/>
          <w:insideV w:val="none"/>
        </w:tblBorders>
        <w:tblLayout/>
      </w:tblPr>
      <w:tblGrid>
        <w:gridCol w:w="3904"/>
        <w:gridCol w:w="12096"/>
      </w:tblGrid>
      <w:tr>
        <w:trPr>
          <w:trHeight w:val="45" w:hRule="atLeast"/>
        </w:trPr>
        <w:tc>
          <w:tcPr>
            <w:tcW w:w="3904"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Объем фактически потребленной электрической энергии за расчетный месяц по показаниям прибора учета в расчете на одного потребителя:</w:t>
            </w:r>
          </w:p>
        </w:tc>
        <w:tc>
          <w:tcPr>
            <w:tcW w:w="12096"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Формула расчета платы за потребленную электрическую энергию за расчетный месяц</w:t>
            </w:r>
          </w:p>
        </w:tc>
      </w:tr>
      <w:tr>
        <w:trPr>
          <w:trHeight w:val="45" w:hRule="atLeast"/>
        </w:trPr>
        <w:tc>
          <w:tcPr>
            <w:tcW w:w="3904"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не превышает V2 для соответствующих потребителей</w:t>
            </w:r>
          </w:p>
        </w:tc>
        <w:tc>
          <w:tcPr>
            <w:tcW w:w="12096"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П = Т1 * Wфакт, где:</w:t>
            </w:r>
          </w:p>
          <w:p>
            <w:pPr>
              <w:spacing w:after="0"/>
              <w:ind w:left="0"/>
              <w:jc w:val="left"/>
            </w:pPr>
            <w:r>
              <w:rPr>
                <w:rFonts w:hint="default" w:ascii="Times New Roman" w:hAnsi="Times New Roman"/>
                <w:b w:val="false"/>
                <w:i w:val="false"/>
                <w:color w:val="000000"/>
                <w:sz w:val="24"/>
              </w:rPr>
              <w:t>Wфакт – фактический объем потребленной электрической энергии за расчетный месяц по показаниям прибора учета, кВт.ч.*</w:t>
            </w:r>
          </w:p>
        </w:tc>
      </w:tr>
      <w:tr>
        <w:trPr>
          <w:trHeight w:val="45" w:hRule="atLeast"/>
        </w:trPr>
        <w:tc>
          <w:tcPr>
            <w:tcW w:w="3904"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превышает V2, но меньше V3 для соответствующих потребителей</w:t>
            </w:r>
          </w:p>
        </w:tc>
        <w:tc>
          <w:tcPr>
            <w:tcW w:w="12096"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П = Т1 * n * Wуст1 + Т2*(Wфакт- n * Wуст1), где:</w:t>
            </w:r>
          </w:p>
          <w:p>
            <w:pPr>
              <w:spacing w:after="0"/>
              <w:ind w:left="0"/>
              <w:jc w:val="left"/>
            </w:pPr>
            <w:r>
              <w:rPr>
                <w:rFonts w:hint="default" w:ascii="Times New Roman" w:hAnsi="Times New Roman"/>
                <w:b w:val="false"/>
                <w:i w:val="false"/>
                <w:color w:val="000000"/>
                <w:sz w:val="24"/>
              </w:rPr>
              <w:t>n – количество проживающих потребителей.</w:t>
            </w:r>
          </w:p>
          <w:p>
            <w:pPr>
              <w:spacing w:after="0"/>
              <w:ind w:left="0"/>
              <w:jc w:val="left"/>
            </w:pPr>
            <w:r>
              <w:rPr>
                <w:rFonts w:hint="default" w:ascii="Times New Roman" w:hAnsi="Times New Roman"/>
                <w:b w:val="false"/>
                <w:i w:val="false"/>
                <w:color w:val="000000"/>
                <w:sz w:val="24"/>
              </w:rPr>
              <w:t>Wуст1 – величина потребления электрической энергии одним потребителем, соответствующая величине первого уровня, кВт.ч.</w:t>
            </w:r>
          </w:p>
        </w:tc>
      </w:tr>
      <w:tr>
        <w:trPr>
          <w:trHeight w:val="45" w:hRule="atLeast"/>
        </w:trPr>
        <w:tc>
          <w:tcPr>
            <w:tcW w:w="3904"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превышает V3 для соответствующих потребителей</w:t>
            </w:r>
          </w:p>
        </w:tc>
        <w:tc>
          <w:tcPr>
            <w:tcW w:w="12096"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П = Т1 * n * Wуст1 + Т2 * n * (Wуст2- Wуст1) + Т3 *(Wфакт- n * Wуст2), где:</w:t>
            </w:r>
          </w:p>
          <w:p>
            <w:pPr>
              <w:spacing w:after="0"/>
              <w:ind w:left="0"/>
              <w:jc w:val="left"/>
            </w:pPr>
            <w:r>
              <w:rPr>
                <w:rFonts w:hint="default" w:ascii="Times New Roman" w:hAnsi="Times New Roman"/>
                <w:b w:val="false"/>
                <w:i w:val="false"/>
                <w:color w:val="000000"/>
                <w:sz w:val="24"/>
              </w:rPr>
              <w:t>Wуст2 – величина потребления электрической энергии одним потребителем, соответствующая величине второго уровня, кВт.ч.</w:t>
            </w:r>
          </w:p>
        </w:tc>
      </w:tr>
    </w:tbl>
    <w:bookmarkEnd w:id="111"/>
    <w:bookmarkStart w:name="1884521129"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*кВт.ч. – киловатт-час</w:t>
      </w:r>
    </w:p>
    <w:bookmarkEnd w:id="112"/>
    <w:bookmarkStart w:name="1884521130"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 – плата за потребленную электрическую энергию за расчетный месяц.</w:t>
      </w:r>
    </w:p>
    <w:bookmarkEnd w:id="113"/>
    <w:bookmarkStart w:name="1884521131" w:id="114"/>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дифференциации</w:t>
      </w:r>
      <w:r>
        <w:br/>
      </w:r>
      <w:r>
        <w:rPr>
          <w:rFonts w:hint="default" w:ascii="Times New Roman" w:hAnsi="Times New Roman"/>
          <w:b/>
          <w:i w:val="false"/>
          <w:color w:val="000000"/>
          <w:sz w:val="24"/>
        </w:rPr>
        <w:t>
энергоснабжающими организациями</w:t>
      </w:r>
      <w:r>
        <w:br/>
      </w:r>
      <w:r>
        <w:rPr>
          <w:rFonts w:hint="default" w:ascii="Times New Roman" w:hAnsi="Times New Roman"/>
          <w:b/>
          <w:i w:val="false"/>
          <w:color w:val="000000"/>
          <w:sz w:val="24"/>
        </w:rPr>
        <w:t>
 тарифов на электрическую энергию</w:t>
      </w:r>
      <w:r>
        <w:br/>
      </w:r>
      <w:r>
        <w:rPr>
          <w:rFonts w:hint="default" w:ascii="Times New Roman" w:hAnsi="Times New Roman"/>
          <w:b/>
          <w:i w:val="false"/>
          <w:color w:val="000000"/>
          <w:sz w:val="24"/>
        </w:rPr>
        <w:t>
в зависимости от объемов ее</w:t>
      </w:r>
      <w:r>
        <w:br/>
      </w:r>
      <w:r>
        <w:rPr>
          <w:rFonts w:hint="default" w:ascii="Times New Roman" w:hAnsi="Times New Roman"/>
          <w:b/>
          <w:i w:val="false"/>
          <w:color w:val="000000"/>
          <w:sz w:val="24"/>
        </w:rPr>
        <w:t>
 потребленияфизическими лицами</w:t>
      </w:r>
    </w:p>
    <w:bookmarkEnd w:id="114"/>
    <w:bookmarkStart w:name="1884521132" w:id="115"/>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15"/>
    <w:bookmarkStart w:name="1884521133" w:id="116"/>
    <w:p>
      <w:pPr>
        <w:spacing w:before="120" w:after="120" w:line="240"/>
        <w:ind w:left="0"/>
        <w:jc w:val="center"/>
      </w:pPr>
      <w:r>
        <w:rPr>
          <w:rFonts w:hint="default" w:ascii="Times New Roman" w:hAnsi="Times New Roman"/>
          <w:b/>
          <w:i w:val="false"/>
          <w:color w:val="000000"/>
          <w:sz w:val="24"/>
        </w:rPr>
        <w:t>Информация о дифференциации тарифов на электрическую энергию в зависимости от объемов ее потребления (для потребителей)</w:t>
      </w:r>
    </w:p>
    <w:bookmarkEnd w:id="116"/>
    <w:bookmarkStart w:name="1884521134" w:id="117"/>
    <w:tbl>
      <w:tblPr>
        <w:tblW w:w="17720" w:type="auto"/>
        <w:tblCellSpacing w:w="0" w:type="auto"/>
        <w:tblBorders>
          <w:top w:val="none"/>
          <w:left w:val="none"/>
          <w:bottom w:val="none"/>
          <w:right w:val="none"/>
          <w:insideH w:val="none"/>
          <w:insideV w:val="none"/>
        </w:tblBorders>
        <w:tblLayout/>
      </w:tblPr>
      <w:tblGrid>
        <w:gridCol w:w="138"/>
        <w:gridCol w:w="140"/>
        <w:gridCol w:w="148"/>
        <w:gridCol w:w="154"/>
        <w:gridCol w:w="136"/>
        <w:gridCol w:w="147"/>
        <w:gridCol w:w="129"/>
        <w:gridCol w:w="133"/>
        <w:gridCol w:w="133"/>
        <w:gridCol w:w="147"/>
        <w:gridCol w:w="160"/>
        <w:gridCol w:w="154"/>
        <w:gridCol w:w="147"/>
        <w:gridCol w:w="154"/>
        <w:gridCol w:w="6817"/>
        <w:gridCol w:w="111"/>
        <w:gridCol w:w="6891"/>
        <w:gridCol w:w="161"/>
      </w:tblGrid>
      <w:tr>
        <w:trPr>
          <w:trHeight w:val="45" w:hRule="atLeast"/>
        </w:trPr>
        <w:tc>
          <w:tcPr>
            <w:tcW w:w="138"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Лицевой счет абонента</w:t>
            </w:r>
          </w:p>
        </w:tc>
        <w:tc>
          <w:tcPr>
            <w:tcW w:w="140"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Количе</w:t>
            </w:r>
          </w:p>
          <w:p>
            <w:pPr>
              <w:spacing w:after="0"/>
              <w:ind w:left="0"/>
              <w:jc w:val="left"/>
            </w:pPr>
            <w:r>
              <w:rPr>
                <w:rFonts w:hint="default" w:ascii="Times New Roman" w:hAnsi="Times New Roman"/>
                <w:b w:val="false"/>
                <w:i w:val="false"/>
                <w:color w:val="000000"/>
                <w:sz w:val="24"/>
              </w:rPr>
              <w:t>ство проживающих потребителей</w:t>
            </w:r>
          </w:p>
        </w:tc>
        <w:tc>
          <w:tcPr>
            <w:tcW w:w="0" w:type="auto"/>
            <w:gridSpan w:val="13"/>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Объем потребления за отчетный год, помесячно</w:t>
            </w:r>
          </w:p>
        </w:tc>
        <w:tc>
          <w:tcPr>
            <w:tcW w:w="0" w:type="auto"/>
            <w:gridSpan w:val="2"/>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Объем потребления за отчетный год, всего</w:t>
            </w:r>
          </w:p>
        </w:tc>
        <w:tc>
          <w:tcPr>
            <w:tcW w:w="161"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Средне месячное потребление</w:t>
            </w:r>
          </w:p>
        </w:tc>
      </w:tr>
      <w:tr>
        <w:trPr>
          <w:trHeight w:val="45" w:hRule="atLeast"/>
        </w:trPr>
        <w:tc>
          <w:tcPr>
            <w:tcW w:w="138"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40"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48"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Я нв а р ь</w:t>
            </w:r>
          </w:p>
        </w:tc>
        <w:tc>
          <w:tcPr>
            <w:tcW w:w="154"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Ф е в р а л ь</w:t>
            </w:r>
          </w:p>
        </w:tc>
        <w:tc>
          <w:tcPr>
            <w:tcW w:w="136"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М а р т</w:t>
            </w:r>
          </w:p>
        </w:tc>
        <w:tc>
          <w:tcPr>
            <w:tcW w:w="147"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А п р е л ь</w:t>
            </w:r>
          </w:p>
        </w:tc>
        <w:tc>
          <w:tcPr>
            <w:tcW w:w="129"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М а й</w:t>
            </w:r>
          </w:p>
        </w:tc>
        <w:tc>
          <w:tcPr>
            <w:tcW w:w="133"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И ю н ь</w:t>
            </w:r>
          </w:p>
        </w:tc>
        <w:tc>
          <w:tcPr>
            <w:tcW w:w="133"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И ю л ь</w:t>
            </w:r>
          </w:p>
        </w:tc>
        <w:tc>
          <w:tcPr>
            <w:tcW w:w="147"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А в г у с т</w:t>
            </w:r>
          </w:p>
        </w:tc>
        <w:tc>
          <w:tcPr>
            <w:tcW w:w="160"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С е н т я б р ь</w:t>
            </w:r>
          </w:p>
        </w:tc>
        <w:tc>
          <w:tcPr>
            <w:tcW w:w="154"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О к т я б р ь</w:t>
            </w:r>
          </w:p>
        </w:tc>
        <w:tc>
          <w:tcPr>
            <w:tcW w:w="147"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Н о я б р ь</w:t>
            </w:r>
          </w:p>
        </w:tc>
        <w:tc>
          <w:tcPr>
            <w:tcW w:w="154" w:type="dxa"/>
            <w:tcBorders>
              <w:top w:val="single" w:color="000001" w:sz="11"/>
              <w:left w:val="single" w:color="000001" w:sz="11"/>
              <w:bottom w:val="single" w:color="000001" w:sz="11"/>
              <w:right w:val="single" w:color="000001" w:sz="11"/>
            </w:tcBorders>
            <w:vAlign w:val="center"/>
          </w:tcPr>
          <w:p>
            <w:pPr>
              <w:spacing w:after="0"/>
              <w:ind w:left="0"/>
              <w:jc w:val="left"/>
            </w:pPr>
            <w:r>
              <w:rPr>
                <w:rFonts w:hint="default" w:ascii="Times New Roman" w:hAnsi="Times New Roman"/>
                <w:b w:val="false"/>
                <w:i w:val="false"/>
                <w:color w:val="000000"/>
                <w:sz w:val="24"/>
              </w:rPr>
              <w:t>Д е к а б р ь</w:t>
            </w:r>
          </w:p>
        </w:tc>
        <w:tc>
          <w:tcPr>
            <w:tcW w:w="0" w:type="auto"/>
            <w:gridSpan w:val="2"/>
            <w:tcBorders>
              <w:top w:val="single" w:color="000001" w:sz="11"/>
              <w:left w:val="single" w:color="000001" w:sz="11"/>
              <w:bottom w:val="single" w:color="000001" w:sz="11"/>
              <w:right w:val="single" w:color="000001" w:sz="11"/>
            </w:tcBorders>
            <w:vAlign w:val="center"/>
          </w:tcPr>
          <w:p>
            <w:pPr>
              <w:spacing w:after="0"/>
              <w:ind w:left="0"/>
              <w:jc w:val="left"/>
            </w:pPr>
          </w:p>
        </w:tc>
        <w:tc>
          <w:tcPr>
            <w:tcW w:w="0" w:type="auto"/>
            <w:gridSpan w:val="2"/>
            <w:tcBorders>
              <w:top w:val="single" w:color="000001" w:sz="11"/>
              <w:left w:val="single" w:color="000001" w:sz="11"/>
              <w:bottom w:val="single" w:color="000001" w:sz="11"/>
              <w:right w:val="single" w:color="000001" w:sz="11"/>
            </w:tcBorders>
            <w:vAlign w:val="center"/>
          </w:tcPr>
          <w:p>
            <w:pPr>
              <w:spacing w:after="0"/>
              <w:ind w:left="0"/>
              <w:jc w:val="left"/>
            </w:pPr>
          </w:p>
        </w:tc>
      </w:tr>
      <w:tr>
        <w:trPr>
          <w:trHeight w:val="45" w:hRule="atLeast"/>
        </w:trPr>
        <w:tc>
          <w:tcPr>
            <w:tcW w:w="138"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40"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48"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54"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36"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47"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29"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33"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33"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47"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60"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54"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47"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154" w:type="dxa"/>
            <w:tcBorders>
              <w:top w:val="single" w:color="000001" w:sz="11"/>
              <w:left w:val="single" w:color="000001" w:sz="11"/>
              <w:bottom w:val="single" w:color="000001" w:sz="11"/>
              <w:right w:val="single" w:color="000001" w:sz="11"/>
            </w:tcBorders>
            <w:vAlign w:val="center"/>
          </w:tcPr>
          <w:p>
            <w:pPr>
              <w:spacing w:after="0"/>
              <w:ind w:left="0"/>
              <w:jc w:val="left"/>
            </w:pPr>
          </w:p>
        </w:tc>
        <w:tc>
          <w:tcPr>
            <w:tcW w:w="0" w:type="auto"/>
            <w:gridSpan w:val="2"/>
            <w:tcBorders>
              <w:top w:val="single" w:color="000001" w:sz="11"/>
              <w:left w:val="single" w:color="000001" w:sz="11"/>
              <w:bottom w:val="single" w:color="000001" w:sz="11"/>
              <w:right w:val="single" w:color="000001" w:sz="11"/>
            </w:tcBorders>
            <w:vAlign w:val="center"/>
          </w:tcPr>
          <w:p>
            <w:pPr>
              <w:spacing w:after="0"/>
              <w:ind w:left="0"/>
              <w:jc w:val="left"/>
            </w:pPr>
          </w:p>
        </w:tc>
        <w:tc>
          <w:tcPr>
            <w:tcW w:w="0" w:type="auto"/>
            <w:gridSpan w:val="2"/>
            <w:tcBorders>
              <w:top w:val="single" w:color="000001" w:sz="11"/>
              <w:left w:val="single" w:color="000001" w:sz="11"/>
              <w:bottom w:val="single" w:color="000001" w:sz="11"/>
              <w:right w:val="single" w:color="000001" w:sz="11"/>
            </w:tcBorders>
            <w:vAlign w:val="center"/>
          </w:tcPr>
          <w:p>
            <w:pPr>
              <w:spacing w:after="0"/>
              <w:ind w:left="0"/>
              <w:jc w:val="left"/>
            </w:pPr>
          </w:p>
        </w:tc>
      </w:tr>
    </w:tbl>
    <w:bookmarkEnd w:id="117"/>
    <w:bookmarkStart w:name="1884521135"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Примечание: информация представляется в разрезе административных районов (городов), обслуживаемых энергоснабжающей организацией.</w:t>
      </w:r>
    </w:p>
    <w:bookmarkEnd w:id="118"/>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1884520465" Type="http://schemas.openxmlformats.org/officeDocument/2006/relationships/hyperlink" Id="rId17"/><Relationship TargetMode="External" Target="https://bestprofi.com/home/section/410153545" Type="http://schemas.openxmlformats.org/officeDocument/2006/relationships/hyperlink" Id="rId18"/><Relationship TargetMode="External" Target="https://bestprofi.com/home/section/1884520465" Type="http://schemas.openxmlformats.org/officeDocument/2006/relationships/hyperlink" Id="rId19"/><Relationship TargetMode="External" Target="https://bestprofi.com/home/section/501585276" Type="http://schemas.openxmlformats.org/officeDocument/2006/relationships/hyperlink" Id="rId20"/><Relationship TargetMode="External" Target="https://bestprofi.com/home/section/501585449" Type="http://schemas.openxmlformats.org/officeDocument/2006/relationships/hyperlink" Id="rId21"/><Relationship TargetMode="External" Target="https://bestprofi.com/home/section/501585632" Type="http://schemas.openxmlformats.org/officeDocument/2006/relationships/hyperlink" Id="rId22"/><Relationship TargetMode="External" Target="https://bestprofi.com/home/section/501585819" Type="http://schemas.openxmlformats.org/officeDocument/2006/relationships/hyperlink" Id="rId23"/><Relationship TargetMode="External" Target="https://bestprofi.com/home/section/501586052" Type="http://schemas.openxmlformats.org/officeDocument/2006/relationships/hyperlink" Id="rId24"/><Relationship TargetMode="External" Target="https://bestprofi.com/home/section/501586803" Type="http://schemas.openxmlformats.org/officeDocument/2006/relationships/hyperlink" Id="rId25"/><Relationship TargetMode="External" Target="https://bestprofi.com/home/section/501586288" Type="http://schemas.openxmlformats.org/officeDocument/2006/relationships/hyperlink" Id="rId26"/><Relationship TargetMode="External" Target="https://bestprofi.com/home/section/521613312" Type="http://schemas.openxmlformats.org/officeDocument/2006/relationships/hyperlink" Id="rId27"/><Relationship TargetMode="External" Target="https://bestprofi.com/home/section/567834846" Type="http://schemas.openxmlformats.org/officeDocument/2006/relationships/hyperlink" Id="rId28"/><Relationship TargetMode="External" Target="https://bestprofi.com/home/section/1168142251" Type="http://schemas.openxmlformats.org/officeDocument/2006/relationships/hyperlink" Id="rId29"/><Relationship TargetMode="External" Target="https://bestprofi.com/home/section/1884520465" Type="http://schemas.openxmlformats.org/officeDocument/2006/relationships/hyperlink" Id="rId30"/><Relationship TargetMode="External" Target="https://bestprofi.com/home/section/2545696287" Type="http://schemas.openxmlformats.org/officeDocument/2006/relationships/hyperlink" Id="rId31"/><Relationship TargetMode="External" Target="https://bestprofi.com/home/section/2545696287" Type="http://schemas.openxmlformats.org/officeDocument/2006/relationships/hyperlink" Id="rId32"/><Relationship TargetMode="External" Target="https://bestprofi.com/home/section/1884521125" Type="http://schemas.openxmlformats.org/officeDocument/2006/relationships/hyperlink" Id="rId33"/><Relationship TargetMode="External" Target="https://bestprofi.com/home/section/1884521131" Type="http://schemas.openxmlformats.org/officeDocument/2006/relationships/hyperlink" Id="rId34"/></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